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5D72" w14:textId="77777777" w:rsidR="009C5062" w:rsidRPr="0060175F" w:rsidRDefault="009C5062" w:rsidP="009C5062">
      <w:pPr>
        <w:jc w:val="center"/>
        <w:rPr>
          <w:rFonts w:asciiTheme="majorEastAsia" w:eastAsiaTheme="majorEastAsia" w:hAnsiTheme="majorEastAsia"/>
          <w:sz w:val="22"/>
          <w:lang w:eastAsia="zh-CN"/>
        </w:rPr>
      </w:pPr>
      <w:r w:rsidRPr="0060175F">
        <w:rPr>
          <w:rFonts w:asciiTheme="majorEastAsia" w:eastAsiaTheme="majorEastAsia" w:hAnsiTheme="majorEastAsia" w:hint="eastAsia"/>
          <w:sz w:val="22"/>
          <w:lang w:eastAsia="zh-CN"/>
        </w:rPr>
        <w:t>登記基準点測量作業規程運用基準別表</w:t>
      </w:r>
      <w:r w:rsidR="00583532" w:rsidRPr="0060175F">
        <w:rPr>
          <w:rFonts w:asciiTheme="majorEastAsia" w:eastAsiaTheme="majorEastAsia" w:hAnsiTheme="majorEastAsia" w:hint="eastAsia"/>
          <w:sz w:val="22"/>
          <w:lang w:eastAsia="zh-CN"/>
        </w:rPr>
        <w:t>（</w:t>
      </w:r>
      <w:r w:rsidRPr="0060175F">
        <w:rPr>
          <w:rFonts w:asciiTheme="majorEastAsia" w:eastAsiaTheme="majorEastAsia" w:hAnsiTheme="majorEastAsia" w:hint="eastAsia"/>
          <w:sz w:val="22"/>
          <w:lang w:eastAsia="zh-CN"/>
        </w:rPr>
        <w:t>新旧対照表</w:t>
      </w:r>
      <w:r w:rsidR="00583532" w:rsidRPr="0060175F">
        <w:rPr>
          <w:rFonts w:asciiTheme="majorEastAsia" w:eastAsiaTheme="majorEastAsia" w:hAnsiTheme="majorEastAsia" w:hint="eastAsia"/>
          <w:sz w:val="22"/>
          <w:lang w:eastAsia="zh-CN"/>
        </w:rPr>
        <w:t>）</w:t>
      </w:r>
    </w:p>
    <w:p w14:paraId="657AD2C7" w14:textId="77777777" w:rsidR="00583532" w:rsidRPr="0060175F" w:rsidRDefault="00583532" w:rsidP="009C5062">
      <w:pPr>
        <w:jc w:val="center"/>
        <w:rPr>
          <w:rFonts w:asciiTheme="majorEastAsia" w:eastAsiaTheme="majorEastAsia" w:hAnsiTheme="majorEastAsia"/>
          <w:sz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0"/>
        <w:gridCol w:w="10760"/>
      </w:tblGrid>
      <w:tr w:rsidR="0060175F" w:rsidRPr="0060175F" w14:paraId="18E5EE8B" w14:textId="77777777" w:rsidTr="002536DF">
        <w:tc>
          <w:tcPr>
            <w:tcW w:w="10760" w:type="dxa"/>
          </w:tcPr>
          <w:p w14:paraId="33F4F994" w14:textId="77777777" w:rsidR="009C5062" w:rsidRPr="0060175F" w:rsidRDefault="009C5062" w:rsidP="009C50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175F">
              <w:rPr>
                <w:rFonts w:asciiTheme="majorEastAsia" w:eastAsiaTheme="majorEastAsia" w:hAnsiTheme="majorEastAsia" w:hint="eastAsia"/>
                <w:sz w:val="22"/>
              </w:rPr>
              <w:t>改定案</w:t>
            </w:r>
          </w:p>
        </w:tc>
        <w:tc>
          <w:tcPr>
            <w:tcW w:w="10760" w:type="dxa"/>
          </w:tcPr>
          <w:p w14:paraId="58178213" w14:textId="77777777" w:rsidR="009C5062" w:rsidRPr="0060175F" w:rsidRDefault="009C5062" w:rsidP="009C50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175F">
              <w:rPr>
                <w:rFonts w:asciiTheme="majorEastAsia" w:eastAsiaTheme="majorEastAsia" w:hAnsiTheme="majorEastAsia" w:hint="eastAsia"/>
                <w:sz w:val="22"/>
              </w:rPr>
              <w:t>現　行</w:t>
            </w:r>
          </w:p>
        </w:tc>
      </w:tr>
      <w:tr w:rsidR="009F5A92" w:rsidRPr="0060175F" w14:paraId="4C6CEE3F" w14:textId="77777777" w:rsidTr="002536DF">
        <w:tc>
          <w:tcPr>
            <w:tcW w:w="10760" w:type="dxa"/>
          </w:tcPr>
          <w:p w14:paraId="47FD0397" w14:textId="353F6437" w:rsidR="009F5A92" w:rsidRPr="0060175F" w:rsidRDefault="009F5A92" w:rsidP="009F5A92">
            <w:pPr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別表第１　～　別表第</w:t>
            </w:r>
            <w:r w:rsidR="009F31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60175F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  <w:r w:rsidRPr="0060175F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（略）</w:t>
            </w:r>
          </w:p>
          <w:p w14:paraId="0B84F58E" w14:textId="77777777" w:rsidR="004E0DA0" w:rsidRPr="0060175F" w:rsidRDefault="004E0DA0" w:rsidP="009F5A92">
            <w:pPr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  <w:p w14:paraId="1AA5EA56" w14:textId="77777777" w:rsidR="00AE23C9" w:rsidRPr="0060175F" w:rsidRDefault="00AE23C9" w:rsidP="00AE2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別表第７　登記基準点測量における観測及び測定方法等（運用基準第</w:t>
            </w:r>
            <w:r w:rsidRPr="0060175F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10</w:t>
            </w:r>
            <w:r w:rsidRPr="0060175F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条</w:t>
            </w: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第2項）</w:t>
            </w:r>
          </w:p>
          <w:p w14:paraId="6A1B9592" w14:textId="77777777" w:rsidR="00AE23C9" w:rsidRPr="0060175F" w:rsidRDefault="00AE23C9" w:rsidP="00AE23C9">
            <w:pPr>
              <w:rPr>
                <w:rFonts w:hAnsi="Century"/>
                <w:sz w:val="20"/>
                <w:szCs w:val="20"/>
              </w:rPr>
            </w:pPr>
          </w:p>
          <w:p w14:paraId="3F45E1F3" w14:textId="77777777" w:rsidR="00AE23C9" w:rsidRPr="0060175F" w:rsidRDefault="00AE23C9" w:rsidP="00AE23C9">
            <w:pPr>
              <w:rPr>
                <w:rFonts w:hAnsi="Century"/>
                <w:sz w:val="20"/>
                <w:szCs w:val="20"/>
              </w:rPr>
            </w:pPr>
            <w:r w:rsidRPr="0060175F">
              <w:rPr>
                <w:rFonts w:hAnsi="Century" w:hint="eastAsia"/>
                <w:sz w:val="20"/>
                <w:szCs w:val="20"/>
              </w:rPr>
              <w:t xml:space="preserve">　登記基準点測量における観測及び測定方法</w:t>
            </w:r>
          </w:p>
          <w:p w14:paraId="76F9EDEF" w14:textId="77777777" w:rsidR="00AE23C9" w:rsidRPr="0060175F" w:rsidRDefault="00AE23C9" w:rsidP="00AE23C9">
            <w:pPr>
              <w:rPr>
                <w:rFonts w:hAnsi="Century"/>
                <w:sz w:val="20"/>
                <w:szCs w:val="20"/>
              </w:rPr>
            </w:pPr>
          </w:p>
          <w:p w14:paraId="2AC48040" w14:textId="3931E25D" w:rsidR="00AE23C9" w:rsidRPr="0060175F" w:rsidRDefault="00AE23C9" w:rsidP="009F3121">
            <w:r w:rsidRPr="0060175F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60175F">
              <w:rPr>
                <w:rFonts w:hAnsi="Century" w:hint="eastAsia"/>
                <w:sz w:val="20"/>
                <w:szCs w:val="20"/>
              </w:rPr>
              <w:t>1.</w:t>
            </w:r>
            <w:r w:rsidRPr="0060175F">
              <w:rPr>
                <w:rFonts w:hAnsi="Century" w:hint="eastAsia"/>
                <w:sz w:val="20"/>
                <w:szCs w:val="20"/>
              </w:rPr>
              <w:t xml:space="preserve">　</w:t>
            </w:r>
            <w:r w:rsidR="009F3121">
              <w:rPr>
                <w:rFonts w:hAnsi="Century" w:hint="eastAsia"/>
                <w:sz w:val="20"/>
                <w:szCs w:val="20"/>
              </w:rPr>
              <w:t>（略）</w:t>
            </w:r>
            <w:r w:rsidR="009F3121" w:rsidRPr="0060175F">
              <w:t xml:space="preserve"> </w:t>
            </w:r>
          </w:p>
          <w:p w14:paraId="4F78D54A" w14:textId="77777777" w:rsidR="00AE23C9" w:rsidRPr="0060175F" w:rsidRDefault="00AE23C9" w:rsidP="00AE23C9">
            <w:pPr>
              <w:ind w:firstLineChars="100" w:firstLine="210"/>
            </w:pPr>
          </w:p>
          <w:p w14:paraId="699B6101" w14:textId="77777777" w:rsidR="00AE23C9" w:rsidRPr="0060175F" w:rsidRDefault="00AE23C9" w:rsidP="00AE23C9">
            <w:pPr>
              <w:rPr>
                <w:rFonts w:hAnsi="Century"/>
                <w:sz w:val="20"/>
                <w:szCs w:val="20"/>
              </w:rPr>
            </w:pPr>
            <w:r w:rsidRPr="0060175F">
              <w:rPr>
                <w:rFonts w:hint="eastAsia"/>
                <w:sz w:val="20"/>
                <w:szCs w:val="20"/>
              </w:rPr>
              <w:t xml:space="preserve">　</w:t>
            </w:r>
            <w:r w:rsidRPr="0060175F">
              <w:rPr>
                <w:sz w:val="20"/>
                <w:szCs w:val="20"/>
              </w:rPr>
              <w:t>2.</w:t>
            </w:r>
            <w:r w:rsidRPr="0060175F">
              <w:rPr>
                <w:rFonts w:hint="eastAsia"/>
                <w:sz w:val="20"/>
                <w:szCs w:val="20"/>
              </w:rPr>
              <w:t xml:space="preserve">　</w:t>
            </w:r>
            <w:r w:rsidRPr="0060175F">
              <w:rPr>
                <w:rFonts w:hAnsi="Century" w:hint="eastAsia"/>
                <w:sz w:val="20"/>
                <w:szCs w:val="20"/>
              </w:rPr>
              <w:t>ＧＮＳＳ観測方法は、</w:t>
            </w:r>
            <w:r w:rsidRPr="0060175F">
              <w:rPr>
                <w:rFonts w:hint="eastAsia"/>
                <w:sz w:val="20"/>
                <w:szCs w:val="20"/>
              </w:rPr>
              <w:t>次表を標準とする。</w:t>
            </w:r>
          </w:p>
          <w:p w14:paraId="4C07C42F" w14:textId="77777777" w:rsidR="000F285D" w:rsidRPr="00C0705D" w:rsidRDefault="000F285D" w:rsidP="000F285D">
            <w:pPr>
              <w:ind w:firstLineChars="100" w:firstLine="226"/>
              <w:rPr>
                <w:rFonts w:hAnsi="Century"/>
                <w:spacing w:val="8"/>
              </w:rPr>
            </w:pPr>
          </w:p>
          <w:tbl>
            <w:tblPr>
              <w:tblW w:w="9048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245"/>
              <w:gridCol w:w="835"/>
              <w:gridCol w:w="1560"/>
              <w:gridCol w:w="1755"/>
              <w:gridCol w:w="3653"/>
            </w:tblGrid>
            <w:tr w:rsidR="000F285D" w:rsidRPr="00C0705D" w14:paraId="212C1850" w14:textId="77777777" w:rsidTr="002F597D">
              <w:trPr>
                <w:cantSplit/>
                <w:trHeight w:val="488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0FE1936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観測方法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F1A25A1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観測時間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922525F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データ取得間隔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4BF1241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摘　要</w:t>
                  </w:r>
                </w:p>
              </w:tc>
            </w:tr>
            <w:tr w:rsidR="000F285D" w:rsidRPr="00C0705D" w14:paraId="2BE43AD0" w14:textId="77777777" w:rsidTr="002F597D">
              <w:trPr>
                <w:cantSplit/>
                <w:trHeight w:val="369"/>
              </w:trPr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3AD8097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スタティック法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22AFE4B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t>120</w:t>
                  </w:r>
                  <w:r w:rsidRPr="00C0705D">
                    <w:t>分以上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66A4A20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30</w:t>
                  </w:r>
                  <w:r w:rsidRPr="00C0705D">
                    <w:rPr>
                      <w:rFonts w:hint="eastAsia"/>
                    </w:rPr>
                    <w:t>秒以下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6AAA763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  <w:rPr>
                      <w:lang w:eastAsia="zh-CN"/>
                    </w:rPr>
                  </w:pPr>
                  <w:r w:rsidRPr="00C0705D">
                    <w:rPr>
                      <w:rFonts w:hint="eastAsia"/>
                      <w:lang w:eastAsia="zh-CN"/>
                    </w:rPr>
                    <w:t>１～</w:t>
                  </w:r>
                  <w:r w:rsidRPr="002F597D">
                    <w:rPr>
                      <w:rFonts w:hint="eastAsia"/>
                      <w:lang w:eastAsia="zh-CN"/>
                    </w:rPr>
                    <w:t>３</w:t>
                  </w:r>
                  <w:r w:rsidRPr="00C0705D">
                    <w:rPr>
                      <w:rFonts w:hint="eastAsia"/>
                      <w:lang w:eastAsia="zh-CN"/>
                    </w:rPr>
                    <w:t>級登記基準点測量（</w:t>
                  </w:r>
                  <w:r w:rsidRPr="00C0705D">
                    <w:rPr>
                      <w:rFonts w:hint="eastAsia"/>
                      <w:lang w:eastAsia="zh-CN"/>
                    </w:rPr>
                    <w:t>10km</w:t>
                  </w:r>
                  <w:r w:rsidRPr="00C0705D">
                    <w:rPr>
                      <w:rFonts w:hint="eastAsia"/>
                      <w:lang w:eastAsia="zh-CN"/>
                    </w:rPr>
                    <w:t>以上）</w:t>
                  </w:r>
                </w:p>
              </w:tc>
            </w:tr>
            <w:tr w:rsidR="000F285D" w:rsidRPr="00C0705D" w14:paraId="0EE964D2" w14:textId="77777777" w:rsidTr="002F597D">
              <w:trPr>
                <w:cantSplit/>
                <w:trHeight w:val="567"/>
              </w:trPr>
              <w:tc>
                <w:tcPr>
                  <w:tcW w:w="2080" w:type="dxa"/>
                  <w:gridSpan w:val="2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DB0F9BA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9694F4E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t>60</w:t>
                  </w:r>
                  <w:r w:rsidRPr="00C0705D">
                    <w:rPr>
                      <w:rFonts w:hint="eastAsia"/>
                    </w:rPr>
                    <w:t>分以上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8142B32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t>30</w:t>
                  </w:r>
                  <w:r w:rsidRPr="00C0705D">
                    <w:rPr>
                      <w:rFonts w:hint="eastAsia"/>
                    </w:rPr>
                    <w:t>秒以下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8C9D80E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  <w:rPr>
                      <w:lang w:eastAsia="zh-CN"/>
                    </w:rPr>
                  </w:pPr>
                  <w:r w:rsidRPr="00C0705D">
                    <w:rPr>
                      <w:rFonts w:hint="eastAsia"/>
                      <w:lang w:eastAsia="zh-CN"/>
                    </w:rPr>
                    <w:t>１～</w:t>
                  </w:r>
                  <w:r w:rsidRPr="002F597D">
                    <w:rPr>
                      <w:rFonts w:hint="eastAsia"/>
                      <w:lang w:eastAsia="zh-CN"/>
                    </w:rPr>
                    <w:t>３</w:t>
                  </w:r>
                  <w:r w:rsidRPr="00C0705D">
                    <w:rPr>
                      <w:rFonts w:hint="eastAsia"/>
                      <w:lang w:eastAsia="zh-CN"/>
                    </w:rPr>
                    <w:t>級登記基準点測量</w:t>
                  </w:r>
                  <w:r w:rsidRPr="00C0705D">
                    <w:rPr>
                      <w:lang w:eastAsia="zh-CN"/>
                    </w:rPr>
                    <w:t>(10km</w:t>
                  </w:r>
                  <w:r w:rsidRPr="00C0705D">
                    <w:rPr>
                      <w:rFonts w:hint="eastAsia"/>
                      <w:lang w:eastAsia="zh-CN"/>
                    </w:rPr>
                    <w:t>未満</w:t>
                  </w:r>
                  <w:r w:rsidRPr="00C0705D">
                    <w:rPr>
                      <w:lang w:eastAsia="zh-CN"/>
                    </w:rPr>
                    <w:t>)</w:t>
                  </w:r>
                </w:p>
                <w:p w14:paraId="52728872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2F597D">
                    <w:rPr>
                      <w:rFonts w:hint="eastAsia"/>
                    </w:rPr>
                    <w:t>４</w:t>
                  </w:r>
                  <w:r w:rsidRPr="00C0705D">
                    <w:rPr>
                      <w:rFonts w:hint="eastAsia"/>
                    </w:rPr>
                    <w:t>級登記基準点測量</w:t>
                  </w:r>
                </w:p>
              </w:tc>
            </w:tr>
            <w:tr w:rsidR="000F285D" w:rsidRPr="00C0705D" w14:paraId="06F0C640" w14:textId="77777777" w:rsidTr="002F597D">
              <w:trPr>
                <w:cantSplit/>
                <w:trHeight w:val="488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ACD72E1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短縮スタティック法</w:t>
                  </w:r>
                  <w:r w:rsidRPr="00ED4E8C">
                    <w:rPr>
                      <w:rFonts w:hint="eastAsia"/>
                      <w:color w:val="FF0000"/>
                      <w:u w:val="single"/>
                    </w:rPr>
                    <w:t>※１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6BCEA1F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t>20</w:t>
                  </w:r>
                  <w:r w:rsidRPr="00C0705D">
                    <w:rPr>
                      <w:rFonts w:hint="eastAsia"/>
                    </w:rPr>
                    <w:t>分以上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86E6C92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t>15</w:t>
                  </w:r>
                  <w:r w:rsidRPr="00C0705D">
                    <w:rPr>
                      <w:rFonts w:hint="eastAsia"/>
                    </w:rPr>
                    <w:t>秒以下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F47F78D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３～４級登記基準点測量</w:t>
                  </w:r>
                </w:p>
              </w:tc>
            </w:tr>
            <w:tr w:rsidR="000F285D" w:rsidRPr="00C0705D" w14:paraId="7BB18CF9" w14:textId="77777777" w:rsidTr="002F597D">
              <w:trPr>
                <w:cantSplit/>
                <w:trHeight w:val="488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DF239A0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キネマティック法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09987B1" w14:textId="2DA8D2B8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t>10</w:t>
                  </w:r>
                  <w:r w:rsidRPr="00C0705D">
                    <w:rPr>
                      <w:rFonts w:hint="eastAsia"/>
                    </w:rPr>
                    <w:t>秒以上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ED4E8C">
                    <w:rPr>
                      <w:rFonts w:hint="eastAsia"/>
                      <w:color w:val="FF0000"/>
                      <w:u w:val="single"/>
                    </w:rPr>
                    <w:t>※２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CF75F9B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５秒以下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91B69AB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３～４級登記基準点測量</w:t>
                  </w:r>
                </w:p>
              </w:tc>
            </w:tr>
            <w:tr w:rsidR="000F285D" w:rsidRPr="00C0705D" w14:paraId="7976ADAE" w14:textId="77777777" w:rsidTr="002F597D">
              <w:trPr>
                <w:cantSplit/>
                <w:trHeight w:val="488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57A3413" w14:textId="1FE5F23F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ＲＴＫ法</w:t>
                  </w:r>
                  <w:r w:rsidRPr="00C0705D">
                    <w:rPr>
                      <w:rFonts w:hint="eastAsia"/>
                    </w:rPr>
                    <w:t xml:space="preserve"> </w:t>
                  </w:r>
                  <w:r w:rsidRPr="00ED4E8C">
                    <w:rPr>
                      <w:rFonts w:hint="eastAsia"/>
                      <w:color w:val="FF0000"/>
                      <w:u w:val="single"/>
                    </w:rPr>
                    <w:t>※４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C2CB46A" w14:textId="18EF34BE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t>10</w:t>
                  </w:r>
                  <w:r w:rsidRPr="00C0705D">
                    <w:rPr>
                      <w:rFonts w:hint="eastAsia"/>
                    </w:rPr>
                    <w:t>秒以上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ED4E8C">
                    <w:rPr>
                      <w:rFonts w:hint="eastAsia"/>
                      <w:color w:val="FF0000"/>
                      <w:u w:val="single"/>
                    </w:rPr>
                    <w:t>※３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A12157B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１秒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2CEFAC2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３～４級登記基準点測量</w:t>
                  </w:r>
                </w:p>
              </w:tc>
            </w:tr>
            <w:tr w:rsidR="000F285D" w:rsidRPr="00C0705D" w14:paraId="3323CBDE" w14:textId="77777777" w:rsidTr="002F597D">
              <w:trPr>
                <w:cantSplit/>
                <w:trHeight w:val="732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F1D7CF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ネットワーク型</w:t>
                  </w:r>
                </w:p>
                <w:p w14:paraId="50F0F3BE" w14:textId="243E0A24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ＲＴＫ法</w:t>
                  </w:r>
                  <w:r w:rsidRPr="00C0705D">
                    <w:rPr>
                      <w:rFonts w:hint="eastAsia"/>
                    </w:rPr>
                    <w:t xml:space="preserve"> </w:t>
                  </w:r>
                  <w:r w:rsidRPr="00ED4E8C">
                    <w:rPr>
                      <w:rFonts w:hint="eastAsia"/>
                      <w:color w:val="FF0000"/>
                      <w:u w:val="single"/>
                    </w:rPr>
                    <w:t>※４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C3AE2B" w14:textId="1306BFAD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t>10</w:t>
                  </w:r>
                  <w:r w:rsidRPr="00C0705D">
                    <w:rPr>
                      <w:rFonts w:hint="eastAsia"/>
                    </w:rPr>
                    <w:t>秒以上</w:t>
                  </w:r>
                  <w:r w:rsidRPr="00ED4E8C">
                    <w:rPr>
                      <w:rFonts w:hint="eastAsia"/>
                      <w:u w:val="single"/>
                    </w:rPr>
                    <w:t xml:space="preserve"> </w:t>
                  </w:r>
                  <w:r w:rsidRPr="00ED4E8C">
                    <w:rPr>
                      <w:rFonts w:hint="eastAsia"/>
                      <w:color w:val="FF0000"/>
                      <w:u w:val="single"/>
                    </w:rPr>
                    <w:t>※３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FD81E9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１秒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6D9CC4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C0705D">
                    <w:rPr>
                      <w:rFonts w:hint="eastAsia"/>
                    </w:rPr>
                    <w:t>３～４級登記基準点測量</w:t>
                  </w:r>
                </w:p>
              </w:tc>
            </w:tr>
            <w:tr w:rsidR="000F285D" w:rsidRPr="00C0705D" w14:paraId="0F3472A1" w14:textId="77777777" w:rsidTr="002F597D">
              <w:trPr>
                <w:cantSplit/>
                <w:trHeight w:val="732"/>
              </w:trPr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F50D41E" w14:textId="77777777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ind w:left="315" w:hangingChars="150" w:hanging="315"/>
                    <w:jc w:val="center"/>
                  </w:pPr>
                  <w:r w:rsidRPr="00C0705D">
                    <w:rPr>
                      <w:rFonts w:hint="eastAsia"/>
                    </w:rPr>
                    <w:t>備　考</w:t>
                  </w:r>
                </w:p>
              </w:tc>
              <w:tc>
                <w:tcPr>
                  <w:tcW w:w="7803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E6863F" w14:textId="77777777" w:rsidR="000F285D" w:rsidRPr="000F28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rPr>
                      <w:color w:val="FF0000"/>
                      <w:u w:val="single"/>
                    </w:rPr>
                  </w:pPr>
                  <w:r w:rsidRPr="000F285D">
                    <w:rPr>
                      <w:rFonts w:hint="eastAsia"/>
                      <w:color w:val="FF0000"/>
                      <w:u w:val="single"/>
                    </w:rPr>
                    <w:t>※１</w:t>
                  </w:r>
                  <w:r w:rsidRPr="000F285D">
                    <w:rPr>
                      <w:rFonts w:hint="eastAsia"/>
                      <w:color w:val="FF0000"/>
                      <w:u w:val="single"/>
                    </w:rPr>
                    <w:t xml:space="preserve"> </w:t>
                  </w:r>
                  <w:r w:rsidRPr="000F285D">
                    <w:rPr>
                      <w:rFonts w:hint="eastAsia"/>
                      <w:color w:val="FF0000"/>
                      <w:u w:val="single"/>
                    </w:rPr>
                    <w:t>電子基準点のみを既知点とする場合には適用しないものとする。</w:t>
                  </w:r>
                </w:p>
                <w:p w14:paraId="58B908C2" w14:textId="59903D6B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</w:pPr>
                  <w:r w:rsidRPr="00ED4E8C">
                    <w:rPr>
                      <w:rFonts w:hint="eastAsia"/>
                      <w:color w:val="FF0000"/>
                      <w:u w:val="single"/>
                    </w:rPr>
                    <w:t>※２</w:t>
                  </w:r>
                  <w:r w:rsidRPr="00C0705D">
                    <w:rPr>
                      <w:rFonts w:hint="eastAsia"/>
                    </w:rPr>
                    <w:t xml:space="preserve"> </w:t>
                  </w:r>
                  <w:r w:rsidRPr="00C0705D">
                    <w:rPr>
                      <w:rFonts w:hint="eastAsia"/>
                    </w:rPr>
                    <w:t>１０エポック以上のデータが取得できる時間とする。</w:t>
                  </w:r>
                </w:p>
                <w:p w14:paraId="4D91ED91" w14:textId="5016BAA3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ind w:left="315" w:hangingChars="150" w:hanging="315"/>
                  </w:pPr>
                  <w:r w:rsidRPr="00ED4E8C">
                    <w:rPr>
                      <w:rFonts w:hint="eastAsia"/>
                      <w:color w:val="FF0000"/>
                      <w:u w:val="single"/>
                    </w:rPr>
                    <w:t>※３</w:t>
                  </w:r>
                  <w:r w:rsidR="00C62EE1" w:rsidRPr="00C62EE1">
                    <w:rPr>
                      <w:rFonts w:hint="eastAsia"/>
                      <w:color w:val="FF0000"/>
                    </w:rPr>
                    <w:t xml:space="preserve"> </w:t>
                  </w:r>
                  <w:r w:rsidRPr="00C0705D">
                    <w:rPr>
                      <w:rFonts w:hint="eastAsia"/>
                    </w:rPr>
                    <w:t>ＦＩＸ解を得てから１０エポック以上のデータが取得できる時間とする。</w:t>
                  </w:r>
                </w:p>
                <w:p w14:paraId="7253AD83" w14:textId="5FE239A8" w:rsidR="000F285D" w:rsidRPr="00C070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</w:pPr>
                  <w:r w:rsidRPr="00ED4E8C">
                    <w:rPr>
                      <w:rFonts w:hint="eastAsia"/>
                      <w:color w:val="FF0000"/>
                      <w:u w:val="single"/>
                    </w:rPr>
                    <w:t>※４</w:t>
                  </w:r>
                  <w:r w:rsidRPr="00C0705D">
                    <w:rPr>
                      <w:rFonts w:hint="eastAsia"/>
                    </w:rPr>
                    <w:t xml:space="preserve"> </w:t>
                  </w:r>
                  <w:r w:rsidRPr="00C0705D">
                    <w:rPr>
                      <w:rFonts w:hint="eastAsia"/>
                    </w:rPr>
                    <w:t>後処理で解析を行う場合も含めるものとする。</w:t>
                  </w:r>
                </w:p>
              </w:tc>
            </w:tr>
          </w:tbl>
          <w:p w14:paraId="47817CB7" w14:textId="77777777" w:rsidR="004F7950" w:rsidRDefault="004F7950" w:rsidP="00AE23C9">
            <w:pPr>
              <w:ind w:leftChars="200" w:left="420"/>
              <w:rPr>
                <w:rFonts w:hAnsi="Century"/>
                <w:spacing w:val="8"/>
              </w:rPr>
            </w:pPr>
          </w:p>
          <w:p w14:paraId="32E6893B" w14:textId="231A6AD7" w:rsidR="000B0E08" w:rsidRDefault="000B0E08" w:rsidP="00AE23C9">
            <w:pPr>
              <w:ind w:leftChars="200" w:left="420"/>
              <w:rPr>
                <w:rFonts w:hAnsi="Century"/>
                <w:spacing w:val="8"/>
              </w:rPr>
            </w:pPr>
            <w:r>
              <w:rPr>
                <w:rFonts w:hAnsi="Century" w:hint="eastAsia"/>
                <w:spacing w:val="8"/>
              </w:rPr>
              <w:t>以下略</w:t>
            </w:r>
          </w:p>
          <w:p w14:paraId="4D719D21" w14:textId="194FD1AF" w:rsidR="00AE23C9" w:rsidRPr="0060175F" w:rsidRDefault="00AE23C9" w:rsidP="005C6CDE">
            <w:pPr>
              <w:ind w:firstLineChars="200" w:firstLine="360"/>
              <w:rPr>
                <w:rFonts w:asciiTheme="majorEastAsia" w:eastAsiaTheme="majorEastAsia" w:hAnsiTheme="majorEastAsia"/>
                <w:sz w:val="18"/>
              </w:rPr>
            </w:pPr>
          </w:p>
          <w:p w14:paraId="303C139E" w14:textId="7F416FDE" w:rsidR="00AE23C9" w:rsidRPr="0060175F" w:rsidRDefault="00BE2336" w:rsidP="00AE23C9">
            <w:pPr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別表第</w:t>
            </w:r>
            <w:r w:rsidR="009F31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～　別表第1</w:t>
            </w:r>
            <w:r w:rsidR="009F31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60175F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  <w:r w:rsidRPr="0060175F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（略）</w:t>
            </w:r>
          </w:p>
          <w:p w14:paraId="53AD7F8D" w14:textId="77777777" w:rsidR="00BE2336" w:rsidRPr="0060175F" w:rsidRDefault="00BE2336" w:rsidP="00AE23C9">
            <w:pPr>
              <w:rPr>
                <w:sz w:val="20"/>
                <w:szCs w:val="20"/>
              </w:rPr>
            </w:pPr>
          </w:p>
          <w:p w14:paraId="1D0E982B" w14:textId="19F1E34F" w:rsidR="00356E88" w:rsidRPr="0060175F" w:rsidRDefault="00AE23C9" w:rsidP="009F3121">
            <w:pPr>
              <w:rPr>
                <w:rFonts w:asciiTheme="majorEastAsia" w:eastAsiaTheme="majorEastAsia" w:hAnsiTheme="majorEastAsia"/>
                <w:sz w:val="18"/>
              </w:rPr>
            </w:pPr>
            <w:r w:rsidRPr="0060175F">
              <w:rPr>
                <w:rFonts w:hAnsi="Century"/>
                <w:spacing w:val="8"/>
                <w:sz w:val="20"/>
                <w:szCs w:val="20"/>
              </w:rPr>
              <w:br w:type="page"/>
            </w:r>
          </w:p>
        </w:tc>
        <w:tc>
          <w:tcPr>
            <w:tcW w:w="10760" w:type="dxa"/>
          </w:tcPr>
          <w:p w14:paraId="078FA07E" w14:textId="0276126E" w:rsidR="009F5A92" w:rsidRPr="0060175F" w:rsidRDefault="009F5A92" w:rsidP="009F5A92">
            <w:pPr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別表第１　～　別表第</w:t>
            </w:r>
            <w:r w:rsidR="009F31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60175F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  <w:r w:rsidRPr="0060175F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（略）</w:t>
            </w:r>
          </w:p>
          <w:p w14:paraId="0AABFF70" w14:textId="77777777" w:rsidR="004E0DA0" w:rsidRPr="0060175F" w:rsidRDefault="004E0DA0" w:rsidP="009F5A92">
            <w:pPr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  <w:p w14:paraId="3B8A3C1D" w14:textId="77777777" w:rsidR="00AE23C9" w:rsidRPr="0060175F" w:rsidRDefault="00AE23C9" w:rsidP="00AE2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別表第７　登記基準点測量における観測及び測定方法等（運用基準第</w:t>
            </w:r>
            <w:r w:rsidRPr="0060175F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10</w:t>
            </w:r>
            <w:r w:rsidRPr="0060175F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条</w:t>
            </w: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第2項）</w:t>
            </w:r>
          </w:p>
          <w:p w14:paraId="4130F169" w14:textId="77777777" w:rsidR="00AE23C9" w:rsidRPr="0060175F" w:rsidRDefault="00AE23C9" w:rsidP="00AE23C9">
            <w:pPr>
              <w:rPr>
                <w:rFonts w:hAnsi="Century"/>
                <w:sz w:val="20"/>
                <w:szCs w:val="20"/>
              </w:rPr>
            </w:pPr>
          </w:p>
          <w:p w14:paraId="0DAA30EC" w14:textId="77777777" w:rsidR="00AE23C9" w:rsidRPr="0060175F" w:rsidRDefault="00AE23C9" w:rsidP="00AE23C9">
            <w:pPr>
              <w:rPr>
                <w:rFonts w:hAnsi="Century"/>
                <w:sz w:val="20"/>
                <w:szCs w:val="20"/>
              </w:rPr>
            </w:pPr>
            <w:r w:rsidRPr="0060175F">
              <w:rPr>
                <w:rFonts w:hAnsi="Century" w:hint="eastAsia"/>
                <w:sz w:val="20"/>
                <w:szCs w:val="20"/>
              </w:rPr>
              <w:t xml:space="preserve">　登記基準点測量における観測及び測定方法</w:t>
            </w:r>
          </w:p>
          <w:p w14:paraId="5523972A" w14:textId="77777777" w:rsidR="00AE23C9" w:rsidRPr="0060175F" w:rsidRDefault="00AE23C9" w:rsidP="00AE23C9">
            <w:pPr>
              <w:rPr>
                <w:rFonts w:hAnsi="Century"/>
                <w:sz w:val="20"/>
                <w:szCs w:val="20"/>
              </w:rPr>
            </w:pPr>
          </w:p>
          <w:p w14:paraId="388229CF" w14:textId="30DC994D" w:rsidR="00AE23C9" w:rsidRPr="0060175F" w:rsidRDefault="00AE23C9" w:rsidP="009F3121">
            <w:r w:rsidRPr="0060175F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60175F">
              <w:rPr>
                <w:rFonts w:hAnsi="Century" w:hint="eastAsia"/>
                <w:sz w:val="20"/>
                <w:szCs w:val="20"/>
              </w:rPr>
              <w:t>1.</w:t>
            </w:r>
            <w:r w:rsidRPr="0060175F">
              <w:rPr>
                <w:rFonts w:hAnsi="Century" w:hint="eastAsia"/>
                <w:sz w:val="20"/>
                <w:szCs w:val="20"/>
              </w:rPr>
              <w:t xml:space="preserve">　</w:t>
            </w:r>
            <w:r w:rsidR="009F3121">
              <w:rPr>
                <w:rFonts w:hAnsi="Century" w:hint="eastAsia"/>
                <w:sz w:val="20"/>
                <w:szCs w:val="20"/>
              </w:rPr>
              <w:t>（略）</w:t>
            </w:r>
            <w:r w:rsidR="009F3121" w:rsidRPr="0060175F">
              <w:t xml:space="preserve"> </w:t>
            </w:r>
          </w:p>
          <w:p w14:paraId="748ABE44" w14:textId="77777777" w:rsidR="00AE23C9" w:rsidRPr="0060175F" w:rsidRDefault="00AE23C9" w:rsidP="00AE23C9">
            <w:pPr>
              <w:ind w:firstLineChars="100" w:firstLine="210"/>
            </w:pPr>
          </w:p>
          <w:p w14:paraId="09B22F44" w14:textId="77777777" w:rsidR="00AE23C9" w:rsidRPr="0060175F" w:rsidRDefault="00AE23C9" w:rsidP="00AE23C9">
            <w:pPr>
              <w:rPr>
                <w:rFonts w:hAnsi="Century"/>
                <w:sz w:val="20"/>
                <w:szCs w:val="20"/>
              </w:rPr>
            </w:pPr>
            <w:r w:rsidRPr="0060175F">
              <w:rPr>
                <w:rFonts w:hint="eastAsia"/>
                <w:sz w:val="20"/>
                <w:szCs w:val="20"/>
              </w:rPr>
              <w:t xml:space="preserve">　</w:t>
            </w:r>
            <w:r w:rsidRPr="0060175F">
              <w:rPr>
                <w:sz w:val="20"/>
                <w:szCs w:val="20"/>
              </w:rPr>
              <w:t>2.</w:t>
            </w:r>
            <w:r w:rsidRPr="0060175F">
              <w:rPr>
                <w:rFonts w:hint="eastAsia"/>
                <w:sz w:val="20"/>
                <w:szCs w:val="20"/>
              </w:rPr>
              <w:t xml:space="preserve">　</w:t>
            </w:r>
            <w:r w:rsidRPr="0060175F">
              <w:rPr>
                <w:rFonts w:hAnsi="Century" w:hint="eastAsia"/>
                <w:sz w:val="20"/>
                <w:szCs w:val="20"/>
              </w:rPr>
              <w:t>ＧＮＳＳ観測方法は、</w:t>
            </w:r>
            <w:r w:rsidRPr="0060175F">
              <w:rPr>
                <w:rFonts w:hint="eastAsia"/>
                <w:sz w:val="20"/>
                <w:szCs w:val="20"/>
              </w:rPr>
              <w:t>次表を標準とする。</w:t>
            </w:r>
          </w:p>
          <w:p w14:paraId="1A95E0FD" w14:textId="77777777" w:rsidR="000F285D" w:rsidRPr="0060175F" w:rsidRDefault="000F285D" w:rsidP="000F285D">
            <w:pPr>
              <w:ind w:firstLineChars="100" w:firstLine="226"/>
              <w:rPr>
                <w:rFonts w:hAnsi="Century"/>
                <w:spacing w:val="8"/>
              </w:rPr>
            </w:pPr>
          </w:p>
          <w:tbl>
            <w:tblPr>
              <w:tblW w:w="9048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245"/>
              <w:gridCol w:w="835"/>
              <w:gridCol w:w="1560"/>
              <w:gridCol w:w="1755"/>
              <w:gridCol w:w="3653"/>
            </w:tblGrid>
            <w:tr w:rsidR="000F285D" w:rsidRPr="0060175F" w14:paraId="0FB05050" w14:textId="77777777" w:rsidTr="002F597D">
              <w:trPr>
                <w:cantSplit/>
                <w:trHeight w:val="488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2E51CB6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観測方法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A8B3195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観測時間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38F9F534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データ取得間隔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8408EB9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摘　要</w:t>
                  </w:r>
                </w:p>
              </w:tc>
            </w:tr>
            <w:tr w:rsidR="000F285D" w:rsidRPr="0060175F" w14:paraId="535621FB" w14:textId="77777777" w:rsidTr="002F597D">
              <w:trPr>
                <w:cantSplit/>
                <w:trHeight w:val="369"/>
              </w:trPr>
              <w:tc>
                <w:tcPr>
                  <w:tcW w:w="208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A05BF43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スタティック法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9876201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t>120</w:t>
                  </w:r>
                  <w:r w:rsidRPr="0060175F">
                    <w:t>分以上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9C79328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30</w:t>
                  </w:r>
                  <w:r w:rsidRPr="0060175F">
                    <w:rPr>
                      <w:rFonts w:hint="eastAsia"/>
                    </w:rPr>
                    <w:t>秒以下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8655AB9" w14:textId="77777777" w:rsidR="000F285D" w:rsidRPr="000F28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  <w:rPr>
                      <w:lang w:eastAsia="zh-CN"/>
                    </w:rPr>
                  </w:pPr>
                  <w:r w:rsidRPr="000F285D">
                    <w:rPr>
                      <w:rFonts w:hint="eastAsia"/>
                      <w:lang w:eastAsia="zh-CN"/>
                    </w:rPr>
                    <w:t>１～３級登記基準点測量（</w:t>
                  </w:r>
                  <w:r w:rsidRPr="000F285D">
                    <w:rPr>
                      <w:rFonts w:hint="eastAsia"/>
                      <w:lang w:eastAsia="zh-CN"/>
                    </w:rPr>
                    <w:t>10km</w:t>
                  </w:r>
                  <w:r w:rsidRPr="000F285D">
                    <w:rPr>
                      <w:rFonts w:hint="eastAsia"/>
                      <w:lang w:eastAsia="zh-CN"/>
                    </w:rPr>
                    <w:t>以上）</w:t>
                  </w:r>
                </w:p>
              </w:tc>
            </w:tr>
            <w:tr w:rsidR="000F285D" w:rsidRPr="0060175F" w14:paraId="54A63E21" w14:textId="77777777" w:rsidTr="002F597D">
              <w:trPr>
                <w:cantSplit/>
                <w:trHeight w:val="567"/>
              </w:trPr>
              <w:tc>
                <w:tcPr>
                  <w:tcW w:w="2080" w:type="dxa"/>
                  <w:gridSpan w:val="2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A626B8F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CC50A78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t>60</w:t>
                  </w:r>
                  <w:r w:rsidRPr="0060175F">
                    <w:rPr>
                      <w:rFonts w:hint="eastAsia"/>
                    </w:rPr>
                    <w:t>分以上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E2F55F0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t>30</w:t>
                  </w:r>
                  <w:r w:rsidRPr="0060175F">
                    <w:rPr>
                      <w:rFonts w:hint="eastAsia"/>
                    </w:rPr>
                    <w:t>秒以下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900C8CF" w14:textId="77777777" w:rsidR="000F285D" w:rsidRPr="000F28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  <w:rPr>
                      <w:lang w:eastAsia="zh-CN"/>
                    </w:rPr>
                  </w:pPr>
                  <w:r w:rsidRPr="000F285D">
                    <w:rPr>
                      <w:rFonts w:hint="eastAsia"/>
                      <w:lang w:eastAsia="zh-CN"/>
                    </w:rPr>
                    <w:t>１～３級登記基準点測量</w:t>
                  </w:r>
                  <w:r w:rsidRPr="000F285D">
                    <w:rPr>
                      <w:lang w:eastAsia="zh-CN"/>
                    </w:rPr>
                    <w:t>(10km</w:t>
                  </w:r>
                  <w:r w:rsidRPr="000F285D">
                    <w:rPr>
                      <w:rFonts w:hint="eastAsia"/>
                      <w:lang w:eastAsia="zh-CN"/>
                    </w:rPr>
                    <w:t>未満</w:t>
                  </w:r>
                  <w:r w:rsidRPr="000F285D">
                    <w:rPr>
                      <w:lang w:eastAsia="zh-CN"/>
                    </w:rPr>
                    <w:t>)</w:t>
                  </w:r>
                </w:p>
                <w:p w14:paraId="7E2460E5" w14:textId="77777777" w:rsidR="000F285D" w:rsidRPr="000F28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0F285D">
                    <w:rPr>
                      <w:rFonts w:hint="eastAsia"/>
                    </w:rPr>
                    <w:t>４級登記基準点測量</w:t>
                  </w:r>
                </w:p>
              </w:tc>
            </w:tr>
            <w:tr w:rsidR="000F285D" w:rsidRPr="0060175F" w14:paraId="19AD20FA" w14:textId="77777777" w:rsidTr="002F597D">
              <w:trPr>
                <w:cantSplit/>
                <w:trHeight w:val="488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7267D6BB" w14:textId="77777777" w:rsidR="000F28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短縮スタティック法</w:t>
                  </w:r>
                </w:p>
                <w:p w14:paraId="08AA6B75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0CE91776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t>20</w:t>
                  </w:r>
                  <w:r w:rsidRPr="0060175F">
                    <w:rPr>
                      <w:rFonts w:hint="eastAsia"/>
                    </w:rPr>
                    <w:t>分以上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535C6EF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t>15</w:t>
                  </w:r>
                  <w:r w:rsidRPr="0060175F">
                    <w:rPr>
                      <w:rFonts w:hint="eastAsia"/>
                    </w:rPr>
                    <w:t>秒以下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B1D9A16" w14:textId="77777777" w:rsidR="000F285D" w:rsidRPr="000F28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0F285D">
                    <w:rPr>
                      <w:rFonts w:hint="eastAsia"/>
                    </w:rPr>
                    <w:t>３～４級登記基準点測量</w:t>
                  </w:r>
                </w:p>
              </w:tc>
            </w:tr>
            <w:tr w:rsidR="000F285D" w:rsidRPr="0060175F" w14:paraId="089D53C9" w14:textId="77777777" w:rsidTr="002F597D">
              <w:trPr>
                <w:cantSplit/>
                <w:trHeight w:val="488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1D6C846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キネマティック法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7CDFAC6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t>10</w:t>
                  </w:r>
                  <w:r w:rsidRPr="0060175F">
                    <w:rPr>
                      <w:rFonts w:hint="eastAsia"/>
                    </w:rPr>
                    <w:t>秒以上</w:t>
                  </w:r>
                  <w:r w:rsidRPr="000F285D">
                    <w:rPr>
                      <w:rFonts w:hint="eastAsia"/>
                      <w:u w:val="single"/>
                    </w:rPr>
                    <w:t>※１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41A537F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５秒以下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4102199C" w14:textId="77777777" w:rsidR="000F285D" w:rsidRPr="000F28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0F285D">
                    <w:rPr>
                      <w:rFonts w:hint="eastAsia"/>
                    </w:rPr>
                    <w:t>３～４級登記基準点測量</w:t>
                  </w:r>
                </w:p>
              </w:tc>
            </w:tr>
            <w:tr w:rsidR="000F285D" w:rsidRPr="0060175F" w14:paraId="4A31AAF3" w14:textId="77777777" w:rsidTr="002F597D">
              <w:trPr>
                <w:cantSplit/>
                <w:trHeight w:val="488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16A3FEE5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ＲＴＫ法</w:t>
                  </w:r>
                  <w:r w:rsidRPr="000F285D">
                    <w:rPr>
                      <w:rFonts w:hint="eastAsia"/>
                      <w:u w:val="single"/>
                    </w:rPr>
                    <w:t xml:space="preserve"> </w:t>
                  </w:r>
                  <w:r w:rsidRPr="000F285D">
                    <w:rPr>
                      <w:rFonts w:hint="eastAsia"/>
                      <w:u w:val="single"/>
                    </w:rPr>
                    <w:t>※３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2C764580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t>10</w:t>
                  </w:r>
                  <w:r w:rsidRPr="0060175F">
                    <w:rPr>
                      <w:rFonts w:hint="eastAsia"/>
                    </w:rPr>
                    <w:t>秒以上</w:t>
                  </w:r>
                  <w:r w:rsidRPr="000F285D">
                    <w:rPr>
                      <w:rFonts w:hint="eastAsia"/>
                      <w:u w:val="single"/>
                    </w:rPr>
                    <w:t>※２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5054FCB7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１秒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14:paraId="676FE1AD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３～４級登記基準点測量</w:t>
                  </w:r>
                </w:p>
              </w:tc>
            </w:tr>
            <w:tr w:rsidR="000F285D" w:rsidRPr="0060175F" w14:paraId="41DD9C93" w14:textId="77777777" w:rsidTr="002F597D">
              <w:trPr>
                <w:cantSplit/>
                <w:trHeight w:val="732"/>
              </w:trPr>
              <w:tc>
                <w:tcPr>
                  <w:tcW w:w="2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7804D7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ネットワーク型</w:t>
                  </w:r>
                </w:p>
                <w:p w14:paraId="0D5EA0C6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ＲＴＫ法</w:t>
                  </w:r>
                  <w:r w:rsidRPr="000F285D">
                    <w:rPr>
                      <w:rFonts w:hint="eastAsia"/>
                      <w:u w:val="single"/>
                    </w:rPr>
                    <w:t xml:space="preserve"> </w:t>
                  </w:r>
                  <w:r w:rsidRPr="000F285D">
                    <w:rPr>
                      <w:rFonts w:hint="eastAsia"/>
                      <w:u w:val="single"/>
                    </w:rPr>
                    <w:t>※３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4A785E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t>10</w:t>
                  </w:r>
                  <w:r w:rsidRPr="0060175F">
                    <w:rPr>
                      <w:rFonts w:hint="eastAsia"/>
                    </w:rPr>
                    <w:t>秒以上</w:t>
                  </w:r>
                  <w:r w:rsidRPr="000F285D">
                    <w:rPr>
                      <w:rFonts w:hint="eastAsia"/>
                      <w:u w:val="single"/>
                    </w:rPr>
                    <w:t>※２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F8569B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１秒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1F7BD0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jc w:val="center"/>
                  </w:pPr>
                  <w:r w:rsidRPr="0060175F">
                    <w:rPr>
                      <w:rFonts w:hint="eastAsia"/>
                    </w:rPr>
                    <w:t>３～４級登記基準点測量</w:t>
                  </w:r>
                </w:p>
              </w:tc>
            </w:tr>
            <w:tr w:rsidR="000F285D" w:rsidRPr="0060175F" w14:paraId="6C58EA00" w14:textId="77777777" w:rsidTr="002F597D">
              <w:trPr>
                <w:cantSplit/>
                <w:trHeight w:val="732"/>
              </w:trPr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DCC8E37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ind w:left="315" w:hangingChars="150" w:hanging="315"/>
                    <w:jc w:val="center"/>
                  </w:pPr>
                  <w:r w:rsidRPr="0060175F">
                    <w:rPr>
                      <w:rFonts w:hint="eastAsia"/>
                    </w:rPr>
                    <w:t>備　考</w:t>
                  </w:r>
                </w:p>
              </w:tc>
              <w:tc>
                <w:tcPr>
                  <w:tcW w:w="7803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AED7A3" w14:textId="44A89E46" w:rsidR="000F285D" w:rsidRPr="000F285D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</w:pPr>
                  <w:r w:rsidRPr="000F285D">
                    <w:rPr>
                      <w:rFonts w:hint="eastAsia"/>
                    </w:rPr>
                    <w:t>（新設）</w:t>
                  </w:r>
                </w:p>
                <w:p w14:paraId="5B78B383" w14:textId="7F540E20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</w:pPr>
                  <w:r w:rsidRPr="000F285D">
                    <w:rPr>
                      <w:rFonts w:hint="eastAsia"/>
                      <w:u w:val="single"/>
                    </w:rPr>
                    <w:t>※１</w:t>
                  </w:r>
                  <w:r w:rsidRPr="0060175F">
                    <w:rPr>
                      <w:rFonts w:hint="eastAsia"/>
                    </w:rPr>
                    <w:t xml:space="preserve"> </w:t>
                  </w:r>
                  <w:r w:rsidRPr="0060175F">
                    <w:rPr>
                      <w:rFonts w:hint="eastAsia"/>
                    </w:rPr>
                    <w:t>１０エポック以上のデータが取得できる時間とする。</w:t>
                  </w:r>
                </w:p>
                <w:p w14:paraId="408B9935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  <w:ind w:left="315" w:hangingChars="150" w:hanging="315"/>
                  </w:pPr>
                  <w:r w:rsidRPr="000F285D">
                    <w:rPr>
                      <w:rFonts w:hint="eastAsia"/>
                      <w:u w:val="single"/>
                    </w:rPr>
                    <w:t>※２</w:t>
                  </w:r>
                  <w:r w:rsidRPr="0060175F">
                    <w:rPr>
                      <w:rFonts w:hint="eastAsia"/>
                    </w:rPr>
                    <w:t xml:space="preserve"> </w:t>
                  </w:r>
                  <w:r w:rsidRPr="0060175F">
                    <w:rPr>
                      <w:rFonts w:hint="eastAsia"/>
                    </w:rPr>
                    <w:t>ＦＩＸ解を得てから１０エポック以上のデータが取得できる時間とする。</w:t>
                  </w:r>
                </w:p>
                <w:p w14:paraId="46816051" w14:textId="77777777" w:rsidR="000F285D" w:rsidRPr="0060175F" w:rsidRDefault="000F285D" w:rsidP="000F285D">
                  <w:pPr>
                    <w:kinsoku w:val="0"/>
                    <w:autoSpaceDE w:val="0"/>
                    <w:autoSpaceDN w:val="0"/>
                    <w:spacing w:line="242" w:lineRule="atLeast"/>
                  </w:pPr>
                  <w:r w:rsidRPr="000F285D">
                    <w:rPr>
                      <w:rFonts w:hint="eastAsia"/>
                      <w:u w:val="single"/>
                    </w:rPr>
                    <w:t>※３</w:t>
                  </w:r>
                  <w:r w:rsidRPr="0060175F">
                    <w:rPr>
                      <w:rFonts w:hint="eastAsia"/>
                    </w:rPr>
                    <w:t xml:space="preserve"> </w:t>
                  </w:r>
                  <w:r w:rsidRPr="0060175F">
                    <w:rPr>
                      <w:rFonts w:hint="eastAsia"/>
                    </w:rPr>
                    <w:t>後処理で解析を行う場合も含めるものとする。</w:t>
                  </w:r>
                </w:p>
              </w:tc>
            </w:tr>
          </w:tbl>
          <w:p w14:paraId="312385BA" w14:textId="77777777" w:rsidR="004F7950" w:rsidRDefault="004F7950" w:rsidP="000F285D">
            <w:pPr>
              <w:ind w:leftChars="200" w:left="420"/>
              <w:rPr>
                <w:rFonts w:hAnsi="Century"/>
                <w:spacing w:val="8"/>
              </w:rPr>
            </w:pPr>
          </w:p>
          <w:p w14:paraId="67D6BF74" w14:textId="757C0046" w:rsidR="000B0E08" w:rsidRDefault="000B0E08" w:rsidP="000F285D">
            <w:pPr>
              <w:ind w:leftChars="200" w:left="420"/>
              <w:rPr>
                <w:rFonts w:hAnsi="Century"/>
                <w:spacing w:val="8"/>
              </w:rPr>
            </w:pPr>
            <w:r>
              <w:rPr>
                <w:rFonts w:hAnsi="Century" w:hint="eastAsia"/>
                <w:spacing w:val="8"/>
              </w:rPr>
              <w:t>以下略</w:t>
            </w:r>
          </w:p>
          <w:p w14:paraId="1CDF3F40" w14:textId="77777777" w:rsidR="00AE23C9" w:rsidRPr="000F285D" w:rsidRDefault="00AE23C9" w:rsidP="009F5A9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C0B948" w14:textId="1EF3D7D7" w:rsidR="00BE2336" w:rsidRPr="0060175F" w:rsidRDefault="00BE2336" w:rsidP="00BE2336">
            <w:pPr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別表第</w:t>
            </w:r>
            <w:r w:rsidR="009F31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601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～　別表第</w:t>
            </w:r>
            <w:r w:rsidR="009F31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</w:t>
            </w:r>
            <w:r w:rsidRPr="0060175F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  <w:r w:rsidRPr="0060175F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（略）</w:t>
            </w:r>
          </w:p>
          <w:p w14:paraId="1BCB7E80" w14:textId="77777777" w:rsidR="00BE2336" w:rsidRPr="0060175F" w:rsidRDefault="00BE2336" w:rsidP="00944EF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5B6CE3" w14:textId="0BAC21DC" w:rsidR="00AE23C9" w:rsidRPr="0060175F" w:rsidRDefault="00944EFF" w:rsidP="009F3121">
            <w:pPr>
              <w:rPr>
                <w:rFonts w:asciiTheme="majorEastAsia" w:eastAsiaTheme="majorEastAsia" w:hAnsiTheme="majorEastAsia"/>
                <w:sz w:val="22"/>
              </w:rPr>
            </w:pPr>
            <w:r w:rsidRPr="0060175F">
              <w:rPr>
                <w:rFonts w:hAnsi="Century"/>
                <w:spacing w:val="8"/>
                <w:sz w:val="20"/>
                <w:szCs w:val="20"/>
              </w:rPr>
              <w:br w:type="page"/>
            </w:r>
          </w:p>
        </w:tc>
      </w:tr>
    </w:tbl>
    <w:p w14:paraId="09FCC00E" w14:textId="77777777" w:rsidR="009C5062" w:rsidRPr="0060175F" w:rsidRDefault="009C5062">
      <w:pPr>
        <w:rPr>
          <w:rFonts w:asciiTheme="majorEastAsia" w:eastAsiaTheme="majorEastAsia" w:hAnsiTheme="majorEastAsia"/>
          <w:sz w:val="22"/>
        </w:rPr>
      </w:pPr>
    </w:p>
    <w:sectPr w:rsidR="009C5062" w:rsidRPr="0060175F" w:rsidSect="00196441">
      <w:footerReference w:type="default" r:id="rId8"/>
      <w:footerReference w:type="first" r:id="rId9"/>
      <w:pgSz w:w="23814" w:h="16840" w:orient="landscape" w:code="8"/>
      <w:pgMar w:top="1134" w:right="1134" w:bottom="113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BA1E" w14:textId="77777777" w:rsidR="00D07D51" w:rsidRDefault="00D07D51" w:rsidP="002551CB">
      <w:r>
        <w:separator/>
      </w:r>
    </w:p>
  </w:endnote>
  <w:endnote w:type="continuationSeparator" w:id="0">
    <w:p w14:paraId="6C16E0E6" w14:textId="77777777" w:rsidR="00D07D51" w:rsidRDefault="00D07D51" w:rsidP="0025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40084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36F840B0" w14:textId="77777777" w:rsidR="000B314A" w:rsidRPr="000B314A" w:rsidRDefault="000B314A">
        <w:pPr>
          <w:pStyle w:val="ad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0B314A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B314A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B314A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2155B" w:rsidRPr="0082155B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4</w:t>
        </w:r>
        <w:r w:rsidRPr="000B314A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6CD674D4" w14:textId="77777777" w:rsidR="000B314A" w:rsidRDefault="000B314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520503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14:paraId="555824C1" w14:textId="77777777" w:rsidR="00C85642" w:rsidRPr="00C85642" w:rsidRDefault="00C85642">
        <w:pPr>
          <w:pStyle w:val="ad"/>
          <w:jc w:val="center"/>
          <w:rPr>
            <w:rFonts w:asciiTheme="majorEastAsia" w:eastAsiaTheme="majorEastAsia" w:hAnsiTheme="majorEastAsia"/>
            <w:sz w:val="24"/>
          </w:rPr>
        </w:pPr>
        <w:r w:rsidRPr="00C85642">
          <w:rPr>
            <w:rFonts w:asciiTheme="majorEastAsia" w:eastAsiaTheme="majorEastAsia" w:hAnsiTheme="majorEastAsia"/>
            <w:sz w:val="24"/>
          </w:rPr>
          <w:fldChar w:fldCharType="begin"/>
        </w:r>
        <w:r w:rsidRPr="00C85642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C85642">
          <w:rPr>
            <w:rFonts w:asciiTheme="majorEastAsia" w:eastAsiaTheme="majorEastAsia" w:hAnsiTheme="majorEastAsia"/>
            <w:sz w:val="24"/>
          </w:rPr>
          <w:fldChar w:fldCharType="separate"/>
        </w:r>
        <w:r w:rsidR="0082155B" w:rsidRPr="0082155B"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 w:rsidRPr="00C85642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3186E02C" w14:textId="77777777" w:rsidR="00C85642" w:rsidRDefault="00C856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E480D" w14:textId="77777777" w:rsidR="00D07D51" w:rsidRDefault="00D07D51" w:rsidP="002551CB">
      <w:r>
        <w:separator/>
      </w:r>
    </w:p>
  </w:footnote>
  <w:footnote w:type="continuationSeparator" w:id="0">
    <w:p w14:paraId="4D72664A" w14:textId="77777777" w:rsidR="00D07D51" w:rsidRDefault="00D07D51" w:rsidP="0025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3B99"/>
    <w:multiLevelType w:val="hybridMultilevel"/>
    <w:tmpl w:val="946C90A4"/>
    <w:lvl w:ilvl="0" w:tplc="3B5EDE10">
      <w:numFmt w:val="bullet"/>
      <w:lvlText w:val="※"/>
      <w:lvlJc w:val="left"/>
      <w:pPr>
        <w:tabs>
          <w:tab w:val="num" w:pos="900"/>
        </w:tabs>
        <w:ind w:left="900" w:hanging="444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1" w15:restartNumberingAfterBreak="0">
    <w:nsid w:val="1C383A88"/>
    <w:multiLevelType w:val="hybridMultilevel"/>
    <w:tmpl w:val="45F4FAA4"/>
    <w:lvl w:ilvl="0" w:tplc="E9920A80">
      <w:start w:val="1"/>
      <w:numFmt w:val="decimal"/>
      <w:lvlText w:val="(%1)"/>
      <w:lvlJc w:val="left"/>
      <w:pPr>
        <w:tabs>
          <w:tab w:val="num" w:pos="1069"/>
        </w:tabs>
        <w:ind w:left="1069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2" w15:restartNumberingAfterBreak="0">
    <w:nsid w:val="21C77756"/>
    <w:multiLevelType w:val="hybridMultilevel"/>
    <w:tmpl w:val="764CDC9E"/>
    <w:lvl w:ilvl="0" w:tplc="4DC4ECA0">
      <w:start w:val="1"/>
      <w:numFmt w:val="decimalEnclosedCircle"/>
      <w:lvlText w:val="%1"/>
      <w:lvlJc w:val="left"/>
      <w:pPr>
        <w:tabs>
          <w:tab w:val="num" w:pos="848"/>
        </w:tabs>
        <w:ind w:left="8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3" w15:restartNumberingAfterBreak="0">
    <w:nsid w:val="44955950"/>
    <w:multiLevelType w:val="hybridMultilevel"/>
    <w:tmpl w:val="686C990E"/>
    <w:lvl w:ilvl="0" w:tplc="EAAA2338">
      <w:start w:val="4"/>
      <w:numFmt w:val="decimal"/>
      <w:lvlText w:val="%1."/>
      <w:lvlJc w:val="left"/>
      <w:pPr>
        <w:tabs>
          <w:tab w:val="num" w:pos="578"/>
        </w:tabs>
        <w:ind w:left="578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4" w15:restartNumberingAfterBreak="0">
    <w:nsid w:val="4C634047"/>
    <w:multiLevelType w:val="hybridMultilevel"/>
    <w:tmpl w:val="AB741620"/>
    <w:lvl w:ilvl="0" w:tplc="B728060E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5" w15:restartNumberingAfterBreak="0">
    <w:nsid w:val="515E569C"/>
    <w:multiLevelType w:val="hybridMultilevel"/>
    <w:tmpl w:val="ABC64B12"/>
    <w:lvl w:ilvl="0" w:tplc="5CDA791C">
      <w:start w:val="5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6" w15:restartNumberingAfterBreak="0">
    <w:nsid w:val="77A838EF"/>
    <w:multiLevelType w:val="hybridMultilevel"/>
    <w:tmpl w:val="C5FE247E"/>
    <w:lvl w:ilvl="0" w:tplc="9D540DF4">
      <w:start w:val="3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7" w15:restartNumberingAfterBreak="0">
    <w:nsid w:val="7B21663D"/>
    <w:multiLevelType w:val="hybridMultilevel"/>
    <w:tmpl w:val="FC9A430A"/>
    <w:lvl w:ilvl="0" w:tplc="F812745A">
      <w:start w:val="1"/>
      <w:numFmt w:val="decimalEnclosedCircle"/>
      <w:lvlText w:val="%1"/>
      <w:lvlJc w:val="left"/>
      <w:pPr>
        <w:tabs>
          <w:tab w:val="num" w:pos="944"/>
        </w:tabs>
        <w:ind w:left="9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8" w15:restartNumberingAfterBreak="0">
    <w:nsid w:val="7D6F56C8"/>
    <w:multiLevelType w:val="hybridMultilevel"/>
    <w:tmpl w:val="9A92760A"/>
    <w:lvl w:ilvl="0" w:tplc="9D4E4954">
      <w:start w:val="3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num w:numId="1" w16cid:durableId="671565701">
    <w:abstractNumId w:val="0"/>
  </w:num>
  <w:num w:numId="2" w16cid:durableId="1322656520">
    <w:abstractNumId w:val="5"/>
  </w:num>
  <w:num w:numId="3" w16cid:durableId="1616794316">
    <w:abstractNumId w:val="3"/>
  </w:num>
  <w:num w:numId="4" w16cid:durableId="509417795">
    <w:abstractNumId w:val="4"/>
  </w:num>
  <w:num w:numId="5" w16cid:durableId="496775389">
    <w:abstractNumId w:val="2"/>
  </w:num>
  <w:num w:numId="6" w16cid:durableId="2031100866">
    <w:abstractNumId w:val="7"/>
  </w:num>
  <w:num w:numId="7" w16cid:durableId="1539463248">
    <w:abstractNumId w:val="1"/>
  </w:num>
  <w:num w:numId="8" w16cid:durableId="168258799">
    <w:abstractNumId w:val="8"/>
  </w:num>
  <w:num w:numId="9" w16cid:durableId="1049181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62"/>
    <w:rsid w:val="00056E6D"/>
    <w:rsid w:val="00094C90"/>
    <w:rsid w:val="000B0E08"/>
    <w:rsid w:val="000B314A"/>
    <w:rsid w:val="000D7465"/>
    <w:rsid w:val="000F285D"/>
    <w:rsid w:val="00124E89"/>
    <w:rsid w:val="00156DF1"/>
    <w:rsid w:val="0019144D"/>
    <w:rsid w:val="00196441"/>
    <w:rsid w:val="001B6639"/>
    <w:rsid w:val="001C2233"/>
    <w:rsid w:val="001E1052"/>
    <w:rsid w:val="001F442C"/>
    <w:rsid w:val="002536DF"/>
    <w:rsid w:val="002551CB"/>
    <w:rsid w:val="00266ED9"/>
    <w:rsid w:val="002A4601"/>
    <w:rsid w:val="002C6F67"/>
    <w:rsid w:val="00334BA3"/>
    <w:rsid w:val="003544F3"/>
    <w:rsid w:val="00356E88"/>
    <w:rsid w:val="003A7C73"/>
    <w:rsid w:val="003B29AD"/>
    <w:rsid w:val="003E1B74"/>
    <w:rsid w:val="00473C7F"/>
    <w:rsid w:val="004C6985"/>
    <w:rsid w:val="004E0DA0"/>
    <w:rsid w:val="004F7950"/>
    <w:rsid w:val="0053034E"/>
    <w:rsid w:val="00583532"/>
    <w:rsid w:val="00595EEA"/>
    <w:rsid w:val="005C6CDE"/>
    <w:rsid w:val="005C7022"/>
    <w:rsid w:val="005D58B7"/>
    <w:rsid w:val="005D651B"/>
    <w:rsid w:val="0060175F"/>
    <w:rsid w:val="00611791"/>
    <w:rsid w:val="006233DD"/>
    <w:rsid w:val="00681AB0"/>
    <w:rsid w:val="0069416F"/>
    <w:rsid w:val="00721C36"/>
    <w:rsid w:val="00723D05"/>
    <w:rsid w:val="00730E11"/>
    <w:rsid w:val="007709FB"/>
    <w:rsid w:val="007D3193"/>
    <w:rsid w:val="007D6AC5"/>
    <w:rsid w:val="007F4853"/>
    <w:rsid w:val="0082155B"/>
    <w:rsid w:val="00833835"/>
    <w:rsid w:val="00844313"/>
    <w:rsid w:val="008876BF"/>
    <w:rsid w:val="008C7AF5"/>
    <w:rsid w:val="0090152F"/>
    <w:rsid w:val="00903EC6"/>
    <w:rsid w:val="00923213"/>
    <w:rsid w:val="00941AA1"/>
    <w:rsid w:val="00944EFF"/>
    <w:rsid w:val="009754FA"/>
    <w:rsid w:val="009C5062"/>
    <w:rsid w:val="009D62FA"/>
    <w:rsid w:val="009F3121"/>
    <w:rsid w:val="009F5A92"/>
    <w:rsid w:val="00A269B4"/>
    <w:rsid w:val="00A60CAA"/>
    <w:rsid w:val="00A750BE"/>
    <w:rsid w:val="00AE23C9"/>
    <w:rsid w:val="00B33862"/>
    <w:rsid w:val="00B827B8"/>
    <w:rsid w:val="00B85BB1"/>
    <w:rsid w:val="00BB3F7F"/>
    <w:rsid w:val="00BE2336"/>
    <w:rsid w:val="00BE6F60"/>
    <w:rsid w:val="00C01969"/>
    <w:rsid w:val="00C130BD"/>
    <w:rsid w:val="00C2238D"/>
    <w:rsid w:val="00C62EE1"/>
    <w:rsid w:val="00C85642"/>
    <w:rsid w:val="00D07D51"/>
    <w:rsid w:val="00D70D92"/>
    <w:rsid w:val="00D85E78"/>
    <w:rsid w:val="00E01B51"/>
    <w:rsid w:val="00E2614E"/>
    <w:rsid w:val="00E2636F"/>
    <w:rsid w:val="00E40ACB"/>
    <w:rsid w:val="00E81D68"/>
    <w:rsid w:val="00ED391D"/>
    <w:rsid w:val="00ED79CD"/>
    <w:rsid w:val="00F63F54"/>
    <w:rsid w:val="00F83657"/>
    <w:rsid w:val="00FD0A0D"/>
    <w:rsid w:val="00FD139A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33E88"/>
  <w15:chartTrackingRefBased/>
  <w15:docId w15:val="{1C3C7568-8486-4D22-8FC1-DA480578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2536DF"/>
    <w:pPr>
      <w:suppressAutoHyphens/>
      <w:kinsoku w:val="0"/>
      <w:wordWrap w:val="0"/>
      <w:overflowPunct w:val="0"/>
      <w:autoSpaceDE w:val="0"/>
      <w:autoSpaceDN w:val="0"/>
      <w:adjustRightInd w:val="0"/>
      <w:spacing w:line="242" w:lineRule="atLeast"/>
      <w:jc w:val="left"/>
      <w:textAlignment w:val="baseline"/>
    </w:pPr>
    <w:rPr>
      <w:rFonts w:ascii="ＭＳ 明朝" w:eastAsia="ＭＳ 明朝" w:hAnsi="Century" w:cs="ＭＳ 明朝"/>
      <w:kern w:val="0"/>
      <w:sz w:val="18"/>
      <w:szCs w:val="18"/>
    </w:rPr>
  </w:style>
  <w:style w:type="character" w:customStyle="1" w:styleId="a5">
    <w:name w:val="本文 (文字)"/>
    <w:basedOn w:val="a0"/>
    <w:link w:val="a4"/>
    <w:semiHidden/>
    <w:rsid w:val="002536DF"/>
    <w:rPr>
      <w:rFonts w:ascii="ＭＳ 明朝" w:eastAsia="ＭＳ 明朝" w:hAnsi="Century" w:cs="ＭＳ 明朝"/>
      <w:kern w:val="0"/>
      <w:sz w:val="18"/>
      <w:szCs w:val="18"/>
    </w:rPr>
  </w:style>
  <w:style w:type="paragraph" w:styleId="a6">
    <w:name w:val="Body Text Indent"/>
    <w:basedOn w:val="a"/>
    <w:link w:val="a7"/>
    <w:semiHidden/>
    <w:rsid w:val="002536DF"/>
    <w:pPr>
      <w:suppressAutoHyphens/>
      <w:wordWrap w:val="0"/>
      <w:overflowPunct w:val="0"/>
      <w:ind w:leftChars="50" w:left="416" w:hangingChars="150" w:hanging="312"/>
      <w:jc w:val="left"/>
      <w:textAlignment w:val="baseline"/>
    </w:pPr>
    <w:rPr>
      <w:rFonts w:ascii="ＭＳ 明朝" w:eastAsia="ＭＳ 明朝" w:hAnsi="ＭＳ 明朝" w:cs="ＭＳ 明朝"/>
      <w:color w:val="FF0000"/>
      <w:kern w:val="0"/>
      <w:sz w:val="18"/>
      <w:szCs w:val="18"/>
    </w:rPr>
  </w:style>
  <w:style w:type="character" w:customStyle="1" w:styleId="a7">
    <w:name w:val="本文インデント (文字)"/>
    <w:basedOn w:val="a0"/>
    <w:link w:val="a6"/>
    <w:semiHidden/>
    <w:rsid w:val="002536DF"/>
    <w:rPr>
      <w:rFonts w:ascii="ＭＳ 明朝" w:eastAsia="ＭＳ 明朝" w:hAnsi="ＭＳ 明朝" w:cs="ＭＳ 明朝"/>
      <w:color w:val="FF0000"/>
      <w:kern w:val="0"/>
      <w:sz w:val="18"/>
      <w:szCs w:val="18"/>
    </w:rPr>
  </w:style>
  <w:style w:type="character" w:styleId="HTML">
    <w:name w:val="HTML Typewriter"/>
    <w:rsid w:val="002536DF"/>
    <w:rPr>
      <w:rFonts w:ascii="ＭＳ ゴシック" w:eastAsia="ＭＳ ゴシック" w:hAnsi="Courier New" w:cs="Courier New"/>
      <w:sz w:val="20"/>
      <w:szCs w:val="20"/>
    </w:rPr>
  </w:style>
  <w:style w:type="paragraph" w:customStyle="1" w:styleId="Default">
    <w:name w:val="Default"/>
    <w:rsid w:val="002536D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8">
    <w:name w:val="Emphasis"/>
    <w:qFormat/>
    <w:rsid w:val="00681AB0"/>
    <w:rPr>
      <w:i/>
      <w:iCs/>
    </w:rPr>
  </w:style>
  <w:style w:type="paragraph" w:styleId="a9">
    <w:name w:val="Closing"/>
    <w:basedOn w:val="a"/>
    <w:link w:val="aa"/>
    <w:rsid w:val="007D6AC5"/>
    <w:pPr>
      <w:suppressAutoHyphens/>
      <w:wordWrap w:val="0"/>
      <w:overflowPunct w:val="0"/>
      <w:adjustRightInd w:val="0"/>
      <w:jc w:val="right"/>
      <w:textAlignment w:val="baseline"/>
    </w:pPr>
    <w:rPr>
      <w:rFonts w:ascii="ＭＳ 明朝" w:eastAsia="ＭＳ 明朝" w:hAnsi="Century" w:cs="ＭＳ 明朝"/>
      <w:kern w:val="0"/>
      <w:sz w:val="18"/>
      <w:szCs w:val="18"/>
      <w:lang w:val="ja-JP"/>
    </w:rPr>
  </w:style>
  <w:style w:type="character" w:customStyle="1" w:styleId="aa">
    <w:name w:val="結語 (文字)"/>
    <w:basedOn w:val="a0"/>
    <w:link w:val="a9"/>
    <w:rsid w:val="007D6AC5"/>
    <w:rPr>
      <w:rFonts w:ascii="ＭＳ 明朝" w:eastAsia="ＭＳ 明朝" w:hAnsi="Century" w:cs="ＭＳ 明朝"/>
      <w:kern w:val="0"/>
      <w:sz w:val="18"/>
      <w:szCs w:val="18"/>
      <w:lang w:val="ja-JP"/>
    </w:rPr>
  </w:style>
  <w:style w:type="paragraph" w:styleId="ab">
    <w:name w:val="header"/>
    <w:basedOn w:val="a"/>
    <w:link w:val="ac"/>
    <w:uiPriority w:val="99"/>
    <w:unhideWhenUsed/>
    <w:rsid w:val="00255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51CB"/>
  </w:style>
  <w:style w:type="paragraph" w:styleId="ad">
    <w:name w:val="footer"/>
    <w:basedOn w:val="a"/>
    <w:link w:val="ae"/>
    <w:unhideWhenUsed/>
    <w:rsid w:val="002551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51CB"/>
  </w:style>
  <w:style w:type="paragraph" w:styleId="af">
    <w:name w:val="Revision"/>
    <w:hidden/>
    <w:uiPriority w:val="99"/>
    <w:semiHidden/>
    <w:rsid w:val="00844313"/>
  </w:style>
  <w:style w:type="paragraph" w:styleId="af0">
    <w:name w:val="Balloon Text"/>
    <w:basedOn w:val="a"/>
    <w:link w:val="af1"/>
    <w:semiHidden/>
    <w:rsid w:val="00AE23C9"/>
    <w:pPr>
      <w:suppressAutoHyphens/>
      <w:wordWrap w:val="0"/>
      <w:overflowPunct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AE23C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HTML0">
    <w:name w:val="HTML Preformatted"/>
    <w:basedOn w:val="a"/>
    <w:link w:val="HTML1"/>
    <w:semiHidden/>
    <w:rsid w:val="00AE23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1">
    <w:name w:val="HTML 書式付き (文字)"/>
    <w:basedOn w:val="a0"/>
    <w:link w:val="HTML0"/>
    <w:semiHidden/>
    <w:rsid w:val="00AE23C9"/>
    <w:rPr>
      <w:rFonts w:ascii="ＭＳ ゴシック" w:eastAsia="ＭＳ ゴシック" w:hAnsi="Courier New" w:cs="Courier New"/>
      <w:kern w:val="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AE23C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E23C9"/>
    <w:pPr>
      <w:suppressAutoHyphens/>
      <w:wordWrap w:val="0"/>
      <w:overflowPunct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character" w:customStyle="1" w:styleId="af4">
    <w:name w:val="コメント文字列 (文字)"/>
    <w:basedOn w:val="a0"/>
    <w:link w:val="af3"/>
    <w:uiPriority w:val="99"/>
    <w:semiHidden/>
    <w:rsid w:val="00AE23C9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E23C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E23C9"/>
    <w:rPr>
      <w:rFonts w:ascii="ＭＳ 明朝" w:eastAsia="ＭＳ 明朝" w:hAnsi="ＭＳ 明朝" w:cs="ＭＳ 明朝"/>
      <w:b/>
      <w:bCs/>
      <w:color w:val="000000"/>
      <w:kern w:val="0"/>
      <w:sz w:val="18"/>
      <w:szCs w:val="18"/>
    </w:rPr>
  </w:style>
  <w:style w:type="paragraph" w:styleId="af7">
    <w:name w:val="List Paragraph"/>
    <w:basedOn w:val="a"/>
    <w:uiPriority w:val="34"/>
    <w:qFormat/>
    <w:rsid w:val="00AE23C9"/>
    <w:pPr>
      <w:suppressAutoHyphens/>
      <w:wordWrap w:val="0"/>
      <w:overflowPunct w:val="0"/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F953-07BB-4BBE-AC70-5006992F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日本土地家屋調査士会連合会</dc:creator>
  <cp:keywords/>
  <dc:description/>
  <cp:lastModifiedBy>青木紀夫</cp:lastModifiedBy>
  <cp:revision>5</cp:revision>
  <cp:lastPrinted>2024-09-19T00:59:00Z</cp:lastPrinted>
  <dcterms:created xsi:type="dcterms:W3CDTF">2024-09-03T10:01:00Z</dcterms:created>
  <dcterms:modified xsi:type="dcterms:W3CDTF">2024-09-19T00:59:00Z</dcterms:modified>
</cp:coreProperties>
</file>